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center"/>
        <w:tabs>
          <w:tab w:val="left" w:pos="0" w:leader="none"/>
        </w:tabs>
        <w:rPr>
          <w:b/>
        </w:rPr>
        <w:outlineLvl w:val="0"/>
      </w:pPr>
      <w:r>
        <w:rPr>
          <w:b/>
        </w:rPr>
        <w:t xml:space="preserve">Извещение о проведении конкурса в электронной форме</w:t>
      </w:r>
      <w:r>
        <w:rPr>
          <w:b/>
        </w:rPr>
      </w:r>
      <w:r>
        <w:rPr>
          <w:b/>
        </w:rPr>
      </w:r>
    </w:p>
    <w:p>
      <w:pPr>
        <w:ind w:firstLine="709"/>
        <w:jc w:val="center"/>
        <w:tabs>
          <w:tab w:val="left" w:pos="851" w:leader="none"/>
          <w:tab w:val="left" w:pos="1134" w:leader="none"/>
        </w:tabs>
        <w:rPr>
          <w:b/>
        </w:rPr>
        <w:outlineLvl w:val="0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851" w:leader="none"/>
          <w:tab w:val="left" w:pos="1134" w:leader="none"/>
        </w:tabs>
      </w:pPr>
      <w:r>
        <w:t xml:space="preserve"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>
        <w:rPr>
          <w:spacing w:val="-2"/>
        </w:rPr>
        <w:t xml:space="preserve">поставки </w:t>
      </w:r>
      <w:r>
        <w:rPr>
          <w:spacing w:val="-2"/>
        </w:rPr>
      </w:r>
      <w:r>
        <w:rPr>
          <w:spacing w:val="-2"/>
        </w:rPr>
        <w:t xml:space="preserve">устройств РЗА</w:t>
      </w:r>
      <w:r>
        <w:rPr>
          <w:spacing w:val="-2"/>
        </w:rPr>
      </w:r>
      <w:r>
        <w:rPr>
          <w:spacing w:val="-2"/>
        </w:rPr>
        <w:t xml:space="preserve">, для нужд АО «Россети Сибирь Тываэнерго» № </w:t>
      </w:r>
      <w:r>
        <w:rPr>
          <w:spacing w:val="-2"/>
          <w:lang w:val="en-US"/>
        </w:rPr>
      </w:r>
      <w:r>
        <w:rPr>
          <w:spacing w:val="-2"/>
          <w:lang w:val="en-US"/>
        </w:rPr>
        <w:t xml:space="preserve">25.1-11/3.2-0038</w:t>
      </w:r>
      <w:r>
        <w:rPr>
          <w:spacing w:val="-2"/>
          <w:lang w:val="en-US"/>
        </w:rPr>
      </w:r>
      <w:r>
        <w:rPr>
          <w:spacing w:val="-2"/>
        </w:rPr>
        <w:t xml:space="preserve"> </w:t>
      </w:r>
      <w:r>
        <w:rPr>
          <w:spacing w:val="-2"/>
        </w:rPr>
        <w:t xml:space="preserve">(далее – конкурс, закупка)</w:t>
      </w:r>
      <w:r>
        <w:t xml:space="preserve">. </w:t>
      </w:r>
      <w:r/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10065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>
        <w:tblPrEx/>
        <w:trPr>
          <w:trHeight w:val="611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  <w:bCs/>
              </w:rPr>
            </w:pPr>
            <w:r>
              <w:rPr>
                <w:b/>
                <w:bCs/>
              </w:rPr>
              <w:t xml:space="preserve">Способ осуществления закупки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Конкурс в электронной форме</w:t>
            </w:r>
            <w:r/>
          </w:p>
        </w:tc>
      </w:tr>
      <w:tr>
        <w:tblPrEx/>
        <w:trPr>
          <w:trHeight w:val="200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</w:pPr>
            <w:r>
              <w:rPr>
                <w:b/>
                <w:bCs/>
              </w:rPr>
              <w:t xml:space="preserve">Наименование, место нахождения, почтовый адрес, адрес электронной почты, номер контактного телефона Заказчика</w:t>
            </w:r>
            <w:r/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838" w:type="dxa"/>
            <w:textDirection w:val="lrTb"/>
            <w:noWrap w:val="false"/>
          </w:tcPr>
          <w:p>
            <w:r>
              <w:t xml:space="preserve">Наименование Заказчика: Акционерное общество «Россети Сибирь Тываэнерго» (АО «Россети Сибирь Тываэнерго»).</w:t>
            </w:r>
            <w:r/>
          </w:p>
          <w:p>
            <w:r>
              <w:t xml:space="preserve">Место нахождения и почтовый адрес Заказчика: </w:t>
            </w:r>
            <w:r/>
          </w:p>
          <w:p>
            <w:r>
              <w:t xml:space="preserve">667001, г. Кызыл, ул. Рабочая 4.</w:t>
            </w:r>
            <w:r/>
          </w:p>
          <w:p>
            <w:r>
              <w:t xml:space="preserve">E-mail:  info@tv.rosseti-sib.ru</w:t>
            </w:r>
            <w:r/>
          </w:p>
          <w:p>
            <w:r>
              <w:t xml:space="preserve">Тел.:  8 (394-22) 9-85-00</w:t>
            </w:r>
            <w:r/>
          </w:p>
          <w:p>
            <w:r/>
            <w:r/>
          </w:p>
          <w:p>
            <w:r>
              <w:t xml:space="preserve">Контактные лица Заказчика: </w:t>
            </w:r>
            <w:r/>
          </w:p>
          <w:p>
            <w:r>
              <w:t xml:space="preserve">Главный специалист сектора закупок</w:t>
            </w:r>
            <w:r/>
          </w:p>
          <w:p>
            <w:r>
              <w:t xml:space="preserve">Кузнецова Надежда Алексеевна</w:t>
            </w:r>
            <w:r/>
          </w:p>
          <w:p>
            <w:r>
              <w:t xml:space="preserve">E-mail: Kuznetsova_NA@tv.rosseti-sib.ru</w:t>
            </w:r>
            <w:r/>
          </w:p>
          <w:p>
            <w:r>
              <w:t xml:space="preserve">Тел.: (39422) 9-85-44</w:t>
            </w:r>
            <w:r/>
          </w:p>
          <w:p>
            <w:r/>
            <w:r/>
          </w:p>
          <w:p>
            <w:r>
              <w:t xml:space="preserve">Специалист 2 категории сектора закупок</w:t>
            </w:r>
            <w:r/>
          </w:p>
          <w:p>
            <w:r>
              <w:t xml:space="preserve">Золотухина Вера Александровна</w:t>
            </w:r>
            <w:r/>
          </w:p>
          <w:p>
            <w:r>
              <w:t xml:space="preserve">E-mail: Zolotuhina_VA@tv.rosseti-sib.ru</w:t>
            </w:r>
            <w:r/>
          </w:p>
          <w:p>
            <w:pPr>
              <w:jc w:val="both"/>
            </w:pPr>
            <w:r>
              <w:t xml:space="preserve">Тел.: (39422) 9-84-43</w:t>
            </w:r>
            <w:r/>
          </w:p>
        </w:tc>
      </w:tr>
      <w:tr>
        <w:tblPrEx/>
        <w:trPr>
          <w:trHeight w:val="1743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Наименование, место нахождения, почтовый адрес, адрес электронной почты, номер контактного телефона Организатора закупки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838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>
              <w:rPr>
                <w:i/>
              </w:rPr>
              <w:t xml:space="preserve"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126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  <w:bCs/>
              </w:rPr>
            </w:pPr>
            <w:r>
              <w:rPr>
                <w:b/>
                <w:bCs/>
              </w:rPr>
              <w:t xml:space="preserve">Требования к участникам закупки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  <w:spacing w:after="60"/>
              <w:tabs>
                <w:tab w:val="left" w:pos="851" w:leader="none"/>
                <w:tab w:val="left" w:pos="1134" w:leader="none"/>
              </w:tabs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</w:t>
            </w:r>
            <w:r>
              <w:t xml:space="preserve">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 xml:space="preserve"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t xml:space="preserve">проведении эксперимента п</w:t>
            </w:r>
            <w:r>
              <w:rPr>
                <w:bCs/>
              </w:rPr>
              <w:t xml:space="preserve">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both"/>
            </w:pPr>
            <w:r/>
            <w:r/>
          </w:p>
          <w:p>
            <w:pPr>
              <w:jc w:val="both"/>
              <w:rPr>
                <w:i/>
              </w:rPr>
            </w:pPr>
            <w:r>
              <w:t xml:space="preserve"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1128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</w:pPr>
            <w:r>
              <w:rPr>
                <w:b/>
                <w:bCs/>
              </w:rPr>
              <w:t xml:space="preserve">Предмет договора с указанием количества поставляемого товара, объема выполняемой работы, оказываемой услуги</w:t>
            </w:r>
            <w:r/>
          </w:p>
        </w:tc>
        <w:tc>
          <w:tcPr>
            <w:tcW w:w="6838" w:type="dxa"/>
            <w:textDirection w:val="lrTb"/>
            <w:noWrap w:val="false"/>
          </w:tcPr>
          <w:p>
            <w:pPr>
              <w:pStyle w:val="960"/>
            </w:pPr>
            <w:r>
              <w:rPr>
                <w:b/>
                <w:bCs/>
              </w:rPr>
              <w:t xml:space="preserve">Лот № 1 </w:t>
            </w:r>
            <w:r/>
          </w:p>
          <w:p>
            <w:pPr>
              <w:jc w:val="both"/>
            </w:pPr>
            <w:r>
              <w:t xml:space="preserve">Право на заключение договора</w:t>
            </w:r>
            <w:r>
              <w:t xml:space="preserve"> поставки</w:t>
            </w:r>
            <w:r>
              <w:t xml:space="preserve"> </w:t>
            </w:r>
            <w:r>
              <w:t xml:space="preserve">устройств РЗА</w:t>
            </w:r>
            <w:r/>
            <w:r>
              <w:t xml:space="preserve">.</w:t>
            </w:r>
            <w:r/>
          </w:p>
          <w:p>
            <w:pPr>
              <w:pStyle w:val="960"/>
            </w:pPr>
            <w:r/>
            <w:r/>
          </w:p>
          <w:p>
            <w:pPr>
              <w:pStyle w:val="960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  <w:r/>
          </w:p>
        </w:tc>
      </w:tr>
      <w:tr>
        <w:tblPrEx/>
        <w:trPr>
          <w:trHeight w:val="69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Место, условия и сроки (периоды) поставки товара, выполнения работы, оказания услуги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  <w:keepLines/>
              <w:keepNext/>
              <w:widowControl w:val="off"/>
              <w:suppressLineNumbers/>
            </w:pPr>
            <w:r>
              <w:t xml:space="preserve">Место поставки товара (выполнения работ/ оказания услуг):</w:t>
            </w:r>
            <w:r/>
          </w:p>
          <w:p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jc w:val="both"/>
            </w:pPr>
            <w:r/>
            <w:r/>
          </w:p>
          <w:p>
            <w:pPr>
              <w:jc w:val="both"/>
            </w:pPr>
            <w:r>
              <w:t xml:space="preserve">Сроки поставки товара (выполнения работ/ оказания услуг): </w:t>
            </w:r>
            <w:r/>
          </w:p>
          <w:p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r/>
            <w:r/>
          </w:p>
          <w:p>
            <w:pPr>
              <w:pStyle w:val="960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</w:tc>
      </w:tr>
      <w:tr>
        <w:tblPrEx/>
        <w:trPr>
          <w:trHeight w:val="558"/>
        </w:trPr>
        <w:tc>
          <w:tcPr>
            <w:shd w:val="clear" w:color="auto" w:fill="f2f2f2"/>
            <w:tcBorders>
              <w:bottom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bottom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  <w:spacing w:before="60" w:after="60"/>
              <w:tabs>
                <w:tab w:val="left" w:pos="708" w:leader="none"/>
              </w:tabs>
              <w:rPr>
                <w:bCs/>
                <w:lang w:eastAsia="ar-SA"/>
              </w:rPr>
            </w:pPr>
            <w:r/>
            <w:bookmarkStart w:id="0" w:name="_GoBack"/>
            <w:r>
              <w:t xml:space="preserve">Начальная (максимальная) цена договора без учета НДС составляет </w:t>
            </w:r>
            <w:r/>
            <w:r>
              <w:t xml:space="preserve">163 434</w:t>
            </w:r>
            <w:r/>
            <w:r>
              <w:t xml:space="preserve"> (</w:t>
            </w:r>
            <w:r>
              <w:t xml:space="preserve">Сто шестьдесят три тысячи четыреста тридцать четыре) рубля </w:t>
            </w:r>
            <w:r>
              <w:rPr>
                <w:lang w:val="en-US"/>
              </w:rPr>
              <w:t xml:space="preserve">58</w:t>
            </w:r>
            <w:r>
              <w:t xml:space="preserve">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ек, кроме того НДС в размере </w:t>
            </w:r>
            <w:r>
              <w:rPr>
                <w:bCs/>
                <w:lang w:eastAsia="ar-SA"/>
              </w:rPr>
              <w:t xml:space="preserve">20</w:t>
            </w:r>
            <w:r>
              <w:rPr>
                <w:bCs/>
                <w:lang w:eastAsia="ar-SA"/>
              </w:rPr>
              <w:t xml:space="preserve"> %.</w:t>
            </w: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  <w:p>
            <w:pPr>
              <w:jc w:val="both"/>
              <w:spacing w:after="60"/>
              <w:rPr>
                <w:rFonts w:eastAsia="Calibri"/>
              </w:rPr>
            </w:pPr>
            <w:r>
              <w:t xml:space="preserve">Начальная (максимальная) цена договора с учетом НДС составляет </w:t>
            </w:r>
            <w:r/>
            <w:r>
              <w:t xml:space="preserve">196 121</w:t>
            </w:r>
            <w:r>
              <w:t xml:space="preserve"> (Сто девяносто шесть тысяч сто двадцать один) рубль </w:t>
            </w:r>
            <w:r>
              <w:rPr>
                <w:lang w:val="en-US"/>
              </w:rPr>
              <w:t xml:space="preserve">50</w:t>
            </w:r>
            <w:r>
              <w:t xml:space="preserve">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ек</w:t>
            </w:r>
            <w:r>
              <w:rPr>
                <w:bCs/>
                <w:lang w:eastAsia="ar-SA"/>
              </w:rPr>
              <w:t xml:space="preserve">.</w:t>
            </w:r>
            <w:bookmarkEnd w:id="0"/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spacing w:after="60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ind w:right="17"/>
              <w:jc w:val="both"/>
              <w:spacing w:line="264" w:lineRule="auto"/>
              <w:shd w:val="clear" w:color="auto" w:fill="ffffff"/>
              <w:widowControl w:val="off"/>
            </w:pPr>
            <w:r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</w:t>
            </w:r>
            <w:r>
              <w:rPr>
                <w:rFonts w:eastAsia="Calibri"/>
              </w:rPr>
      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/>
          </w:p>
        </w:tc>
      </w:tr>
      <w:tr>
        <w:tblPrEx/>
        <w:trPr>
          <w:trHeight w:val="1794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Срок, место и порядок предоставления документации о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60"/>
              <w:jc w:val="both"/>
              <w:rPr>
                <w:i/>
              </w:rPr>
            </w:pPr>
            <w:r>
              <w:t xml:space="preserve">Документация о закупке в полно</w:t>
            </w:r>
            <w:r>
              <w:t xml:space="preserve">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>
              <w:t xml:space="preserve">20» </w:t>
            </w:r>
            <w:r>
              <w:t xml:space="preserve">но</w:t>
            </w:r>
            <w:r>
              <w:t xml:space="preserve">ября 2025 г.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74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60"/>
              <w:jc w:val="both"/>
            </w:pPr>
            <w:r>
              <w:t xml:space="preserve">Заявка подается в электронной форме с использованием функционала и в соответствии с Регламентом работы ЭП.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Дата начала срока подачи заявок: «</w:t>
            </w:r>
            <w:r>
              <w:t xml:space="preserve">20» </w:t>
            </w:r>
            <w:r>
              <w:t xml:space="preserve">ноября</w:t>
            </w:r>
            <w:r>
              <w:t xml:space="preserve"> 2025</w:t>
            </w:r>
            <w:r>
              <w:t xml:space="preserve"> года;</w:t>
            </w:r>
            <w:r/>
            <w:r/>
          </w:p>
          <w:p>
            <w:pPr>
              <w:pStyle w:val="960"/>
              <w:jc w:val="both"/>
            </w:pPr>
            <w:r>
              <w:t xml:space="preserve">Дата и время окончания срока, последний день срока подачи Заявок:</w:t>
            </w:r>
            <w:r/>
            <w:r/>
          </w:p>
          <w:p>
            <w:pPr>
              <w:pStyle w:val="960"/>
              <w:jc w:val="both"/>
            </w:pPr>
            <w:r>
              <w:t xml:space="preserve">«</w:t>
            </w:r>
            <w:r>
              <w:t xml:space="preserve">27» </w:t>
            </w:r>
            <w:r>
              <w:t xml:space="preserve">ноября</w:t>
            </w:r>
            <w:r>
              <w:t xml:space="preserve"> </w:t>
            </w:r>
            <w:r>
              <w:t xml:space="preserve">20</w:t>
            </w:r>
            <w:r>
              <w:t xml:space="preserve">25 </w:t>
            </w:r>
            <w:r>
              <w:t xml:space="preserve">года </w:t>
            </w:r>
            <w:r>
              <w:t xml:space="preserve">13</w:t>
            </w:r>
            <w:r>
              <w:t xml:space="preserve">:</w:t>
            </w:r>
            <w:r>
              <w:t xml:space="preserve">00</w:t>
            </w:r>
            <w:r>
              <w:t xml:space="preserve"> (время московское)</w:t>
            </w:r>
            <w:r/>
            <w:r/>
          </w:p>
          <w:p>
            <w:pPr>
              <w:pStyle w:val="960"/>
              <w:jc w:val="both"/>
            </w:pPr>
            <w:r/>
            <w:r/>
            <w:r/>
          </w:p>
          <w:p>
            <w:pPr>
              <w:pStyle w:val="960"/>
              <w:jc w:val="both"/>
            </w:pPr>
            <w:r>
              <w:t xml:space="preserve">Рассмотрение первых частей заявок: </w:t>
            </w:r>
            <w:r/>
            <w:r/>
          </w:p>
          <w:p>
            <w:pPr>
              <w:pStyle w:val="960"/>
              <w:jc w:val="both"/>
            </w:pPr>
            <w:r>
              <w:t xml:space="preserve">Дата начала проведения этапа: с момент направления оператором ЭП заказчику первый частей заявок;</w:t>
            </w:r>
            <w:r/>
            <w:r/>
          </w:p>
          <w:p>
            <w:pPr>
              <w:pStyle w:val="960"/>
              <w:jc w:val="both"/>
            </w:pPr>
            <w:r>
              <w:t xml:space="preserve">Дата окончания проведения этапа: </w:t>
            </w:r>
            <w:r>
              <w:t xml:space="preserve">«</w:t>
            </w:r>
            <w:r>
              <w:t xml:space="preserve">09» декабря</w:t>
            </w:r>
            <w:r>
              <w:t xml:space="preserve"> </w:t>
            </w:r>
            <w:r>
              <w:t xml:space="preserve">20</w:t>
            </w:r>
            <w:r>
              <w:t xml:space="preserve">25</w:t>
            </w:r>
            <w:r>
              <w:t xml:space="preserve"> года.</w:t>
            </w:r>
            <w:r>
              <w:rPr>
                <w:i/>
              </w:rPr>
              <w:t xml:space="preserve"> </w:t>
            </w:r>
            <w:r/>
            <w:r/>
          </w:p>
          <w:p>
            <w:pPr>
              <w:pStyle w:val="960"/>
              <w:jc w:val="both"/>
            </w:pPr>
            <w:r/>
            <w:r/>
            <w:r/>
          </w:p>
          <w:p>
            <w:pPr>
              <w:pStyle w:val="960"/>
              <w:jc w:val="both"/>
            </w:pPr>
            <w:r>
              <w:t xml:space="preserve">Рассмотрение и оценка вторых частей заявок:</w:t>
            </w:r>
            <w:r/>
            <w:r/>
          </w:p>
          <w:p>
            <w:pPr>
              <w:pStyle w:val="960"/>
              <w:jc w:val="both"/>
            </w:pPr>
            <w:r>
              <w:t xml:space="preserve">Дата окончания проведения этапа: </w:t>
            </w:r>
            <w:r>
              <w:t xml:space="preserve">«</w:t>
            </w:r>
            <w:r>
              <w:t xml:space="preserve">19» </w:t>
            </w:r>
            <w:r>
              <w:t xml:space="preserve">декабря</w:t>
            </w:r>
            <w:r>
              <w:t xml:space="preserve"> </w:t>
            </w:r>
            <w:r>
              <w:t xml:space="preserve">20</w:t>
            </w:r>
            <w:r>
              <w:t xml:space="preserve">25</w:t>
            </w:r>
            <w:r>
              <w:t xml:space="preserve"> года. </w:t>
            </w:r>
            <w:r/>
            <w:r/>
          </w:p>
          <w:p>
            <w:pPr>
              <w:pStyle w:val="960"/>
              <w:jc w:val="both"/>
            </w:pPr>
            <w:r/>
            <w:r/>
            <w:r/>
          </w:p>
          <w:p>
            <w:pPr>
              <w:pStyle w:val="960"/>
              <w:jc w:val="both"/>
            </w:pPr>
            <w:r>
              <w:t xml:space="preserve">Подача дополнительных ценовых предложений участников закупки:</w:t>
            </w:r>
            <w:r/>
            <w:r/>
          </w:p>
          <w:p>
            <w:pPr>
              <w:pStyle w:val="960"/>
              <w:jc w:val="both"/>
            </w:pPr>
            <w:r>
              <w:t xml:space="preserve">Дата начала проведения этапа: </w:t>
            </w:r>
            <w:r>
              <w:t xml:space="preserve">«</w:t>
            </w:r>
            <w:r>
              <w:t xml:space="preserve">22» </w:t>
            </w:r>
            <w:r>
              <w:t xml:space="preserve">декабря</w:t>
            </w:r>
            <w:r>
              <w:t xml:space="preserve"> 2025 года.</w:t>
            </w:r>
            <w:r/>
            <w:r/>
          </w:p>
          <w:p>
            <w:pPr>
              <w:pStyle w:val="960"/>
              <w:jc w:val="both"/>
            </w:pPr>
            <w:r/>
            <w:r/>
            <w:r/>
          </w:p>
          <w:p>
            <w:pPr>
              <w:pStyle w:val="960"/>
              <w:jc w:val="both"/>
            </w:pPr>
            <w: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  <w:r/>
            <w:r/>
          </w:p>
          <w:p>
            <w:pPr>
              <w:pStyle w:val="960"/>
              <w:jc w:val="both"/>
            </w:pPr>
            <w:r>
              <w:t xml:space="preserve">Продолжительность приема дополнительных ценовых предложений от участников закупки составляет три часа.</w:t>
            </w:r>
            <w:r/>
            <w:r/>
          </w:p>
          <w:p>
            <w:pPr>
              <w:pStyle w:val="960"/>
              <w:jc w:val="both"/>
            </w:pPr>
            <w:r/>
            <w:r/>
            <w:r/>
          </w:p>
          <w:p>
            <w:pPr>
              <w:pStyle w:val="960"/>
              <w:jc w:val="both"/>
            </w:pPr>
            <w:r>
              <w:t xml:space="preserve">Подведение итогов</w:t>
            </w:r>
            <w:r/>
            <w:r/>
          </w:p>
          <w:p>
            <w:pPr>
              <w:pStyle w:val="960"/>
              <w:jc w:val="both"/>
            </w:pPr>
            <w:r>
              <w:t xml:space="preserve">Дата проведения этапа: </w:t>
            </w:r>
            <w:r>
              <w:t xml:space="preserve">«</w:t>
            </w:r>
            <w:r>
              <w:t xml:space="preserve">23» </w:t>
            </w:r>
            <w:r>
              <w:t xml:space="preserve">декабря</w:t>
            </w:r>
            <w:r>
              <w:t xml:space="preserve"> 2025 года</w:t>
            </w:r>
            <w:r/>
            <w:r/>
            <w:r>
              <w:t xml:space="preserve">.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  <w:r/>
          </w:p>
          <w:p>
            <w:pPr>
              <w:pStyle w:val="960"/>
              <w:jc w:val="both"/>
            </w:pPr>
            <w:r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  <w:r/>
          </w:p>
        </w:tc>
      </w:tr>
      <w:tr>
        <w:tblPrEx/>
        <w:trPr>
          <w:trHeight w:val="1456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Адрес электронной площадки в информационно-телекоммуникационной сети «Интернет»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60"/>
            </w:pPr>
            <w:r>
              <w:t xml:space="preserve">https://corp.roseltorg.ru</w:t>
            </w:r>
            <w:r/>
          </w:p>
          <w:p>
            <w:pPr>
              <w:pStyle w:val="960"/>
            </w:pPr>
            <w:r/>
            <w:r/>
          </w:p>
        </w:tc>
      </w:tr>
      <w:tr>
        <w:tblPrEx/>
        <w:trPr>
          <w:trHeight w:val="1960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Обеспечение заявок на участие в закупке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keepLines/>
              <w:widowControl w:val="off"/>
              <w:rPr>
                <w:b/>
              </w:rPr>
              <w:suppressLineNumbers/>
            </w:pPr>
            <w:r>
              <w:rPr>
                <w:b/>
              </w:rPr>
              <w:t xml:space="preserve"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Не установлено</w:t>
            </w:r>
            <w:r/>
          </w:p>
          <w:p>
            <w:pPr>
              <w:jc w:val="both"/>
            </w:pPr>
            <w:r/>
            <w:r/>
          </w:p>
        </w:tc>
      </w:tr>
      <w:tr>
        <w:tblPrEx/>
        <w:trPr>
          <w:trHeight w:val="1960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b/>
              </w:rPr>
            </w:pPr>
            <w:r>
              <w:rPr>
                <w:b/>
              </w:rPr>
              <w:t xml:space="preserve">Обеспечение исполнения договора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59"/>
              <w:numPr>
                <w:ilvl w:val="0"/>
                <w:numId w:val="0"/>
              </w:numPr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Не установлено, за исключением случаев, указанных в п. 3.7 документации о закупке.</w:t>
            </w:r>
            <w:r/>
          </w:p>
          <w:p>
            <w:pPr>
              <w:jc w:val="both"/>
            </w:pPr>
            <w:r>
              <w:t xml:space="preserve">Размер обеспечения – установлен п. 3.7 документации о закупке.</w:t>
            </w:r>
            <w:r/>
          </w:p>
          <w:p>
            <w:pPr>
              <w:jc w:val="both"/>
            </w:pPr>
            <w:r>
              <w:rPr>
                <w:iCs/>
              </w:rPr>
              <w:t xml:space="preserve"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  <w:p>
            <w:pPr>
              <w:jc w:val="both"/>
            </w:pPr>
            <w:r>
              <w:t xml:space="preserve">Основное обязательство, исполнение которого обеспечивается – исполнение договора.</w:t>
            </w:r>
            <w:r/>
          </w:p>
          <w:p>
            <w:pPr>
              <w:jc w:val="both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  <w:p>
            <w:pPr>
              <w:jc w:val="both"/>
            </w:pPr>
            <w:r>
              <w:t xml:space="preserve"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r/>
          </w:p>
        </w:tc>
      </w:tr>
      <w:tr>
        <w:tblPrEx/>
        <w:trPr>
          <w:trHeight w:val="1549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  <w:bCs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/>
                <w:bCs/>
              </w:rPr>
              <w:t xml:space="preserve">Информация о запрете или об ограничении закупок товаров (в том числе поставляемых при выполнении закупаемых работ, оказании закупаемых услуг), проис</w:t>
            </w:r>
            <w:r>
              <w:rPr>
                <w:b/>
                <w:bCs/>
              </w:rPr>
              <w:t xml:space="preserve"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60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</w:t>
            </w:r>
            <w:r>
              <w:t xml:space="preserve">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 xml:space="preserve"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  <w:r/>
          </w:p>
        </w:tc>
      </w:tr>
      <w:tr>
        <w:tblPrEx/>
        <w:trPr>
          <w:trHeight w:val="994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Иные сведения, определенные Положением о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pStyle w:val="960"/>
              <w:jc w:val="both"/>
            </w:pPr>
            <w:r>
              <w:t xml:space="preserve">Остальные и более подробные условия проведения закупки содержатся в документации о закупке.</w:t>
            </w:r>
            <w:r/>
          </w:p>
        </w:tc>
      </w:tr>
    </w:tbl>
    <w:p>
      <w:r/>
      <w:r/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851" w:right="850" w:bottom="1134" w:left="1276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9"/>
      <w:rPr>
        <w:rStyle w:val="935"/>
      </w:rPr>
      <w:framePr w:wrap="around" w:vAnchor="text" w:hAnchor="margin" w:xAlign="right" w:y="1"/>
    </w:pPr>
    <w:r>
      <w:rPr>
        <w:rStyle w:val="935"/>
      </w:rPr>
      <w:fldChar w:fldCharType="begin"/>
    </w:r>
    <w:r>
      <w:rPr>
        <w:rStyle w:val="935"/>
      </w:rPr>
      <w:instrText xml:space="preserve">PAGE  </w:instrText>
    </w:r>
    <w:r>
      <w:rPr>
        <w:rStyle w:val="935"/>
      </w:rPr>
      <w:fldChar w:fldCharType="separate"/>
    </w:r>
    <w:r>
      <w:rPr>
        <w:rStyle w:val="935"/>
      </w:rPr>
      <w:t xml:space="preserve">2</w:t>
    </w:r>
    <w:r>
      <w:rPr>
        <w:rStyle w:val="935"/>
      </w:rPr>
      <w:fldChar w:fldCharType="end"/>
    </w:r>
    <w:r>
      <w:rPr>
        <w:rStyle w:val="935"/>
      </w:rPr>
    </w:r>
    <w:r>
      <w:rPr>
        <w:rStyle w:val="935"/>
      </w:rPr>
    </w:r>
  </w:p>
  <w:p>
    <w:pPr>
      <w:pStyle w:val="779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9"/>
      <w:rPr>
        <w:rStyle w:val="935"/>
      </w:rPr>
      <w:framePr w:wrap="around" w:vAnchor="text" w:hAnchor="margin" w:xAlign="right" w:y="1"/>
    </w:pPr>
    <w:r>
      <w:rPr>
        <w:rStyle w:val="935"/>
      </w:rPr>
      <w:fldChar w:fldCharType="begin"/>
    </w:r>
    <w:r>
      <w:rPr>
        <w:rStyle w:val="935"/>
      </w:rPr>
      <w:instrText xml:space="preserve">PAGE  </w:instrText>
    </w:r>
    <w:r>
      <w:rPr>
        <w:rStyle w:val="935"/>
      </w:rPr>
      <w:fldChar w:fldCharType="end"/>
    </w:r>
    <w:r>
      <w:rPr>
        <w:rStyle w:val="935"/>
      </w:rPr>
    </w:r>
    <w:r>
      <w:rPr>
        <w:rStyle w:val="935"/>
      </w:rPr>
    </w:r>
  </w:p>
  <w:p>
    <w:pPr>
      <w:pStyle w:val="779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885" w:hanging="885"/>
      </w:pPr>
    </w:lvl>
    <w:lvl w:ilvl="1">
      <w:start w:val="1"/>
      <w:numFmt w:val="decimal"/>
      <w:isLgl w:val="false"/>
      <w:suff w:val="tab"/>
      <w:lvlText w:val="%1.%2."/>
      <w:lvlJc w:val="left"/>
      <w:pPr>
        <w:ind w:left="1005" w:hanging="885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25" w:hanging="885"/>
      </w:pPr>
    </w:lvl>
    <w:lvl w:ilvl="3">
      <w:start w:val="1"/>
      <w:numFmt w:val="thaiNumbers"/>
      <w:isLgl w:val="false"/>
      <w:suff w:val="tab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isLgl w:val="false"/>
      <w:suff w:val="tab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64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120" w:hanging="2160"/>
      </w:pPr>
    </w:lvl>
  </w:abstractNum>
  <w:abstractNum w:abstractNumId="1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4014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661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668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675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1322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32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976" w:hanging="180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firstLine="567"/>
        <w:tabs>
          <w:tab w:val="num" w:pos="1134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56" w:hanging="708"/>
        <w:tabs>
          <w:tab w:val="num" w:pos="708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2007" w:hanging="360"/>
        <w:tabs>
          <w:tab w:val="num" w:pos="0" w:leader="none"/>
        </w:tabs>
      </w:pPr>
      <w:rPr>
        <w:rFonts w:ascii="Times New Roman" w:hAnsi="Times New Roman" w:cs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pStyle w:val="927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928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pStyle w:val="931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pStyle w:val="932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pStyle w:val="933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6">
    <w:multiLevelType w:val="hybridMultilevel"/>
    <w:lvl w:ilvl="0">
      <w:start w:val="1"/>
      <w:numFmt w:val="decimal"/>
      <w:pStyle w:val="956"/>
      <w:isLgl w:val="false"/>
      <w:suff w:val="tab"/>
      <w:lvlText w:val="%1."/>
      <w:lvlJc w:val="center"/>
      <w:pPr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958"/>
      <w:isLgl w:val="false"/>
      <w:suff w:val="tab"/>
      <w:lvlText w:val="%1.%2"/>
      <w:lvlJc w:val="left"/>
      <w:pPr>
        <w:ind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957"/>
      <w:isLgl w:val="false"/>
      <w:suff w:val="tab"/>
      <w:lvlText w:val="%1.%2.%3"/>
      <w:lvlJc w:val="left"/>
      <w:pPr>
        <w:ind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959"/>
      <w:isLgl w:val="false"/>
      <w:suff w:val="tab"/>
      <w:lvlText w:val="%5)"/>
      <w:lvlJc w:val="left"/>
      <w:pPr>
        <w:ind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7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2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272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280" w:hanging="180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10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3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980" w:hanging="1080"/>
      </w:pPr>
    </w:lvl>
    <w:lvl w:ilvl="4">
      <w:start w:val="1"/>
      <w:numFmt w:val="thaiNumbers"/>
      <w:isLgl w:val="false"/>
      <w:suff w:val="tab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560" w:hanging="216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  <w:tabs>
          <w:tab w:val="num" w:pos="150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  <w:tabs>
          <w:tab w:val="num" w:pos="222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  <w:tabs>
          <w:tab w:val="num" w:pos="294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  <w:tabs>
          <w:tab w:val="num" w:pos="366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  <w:tabs>
          <w:tab w:val="num" w:pos="438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  <w:tabs>
          <w:tab w:val="num" w:pos="510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  <w:tabs>
          <w:tab w:val="num" w:pos="582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  <w:tabs>
          <w:tab w:val="num" w:pos="6540" w:leader="none"/>
        </w:tabs>
      </w:pPr>
      <w:rPr>
        <w:rFonts w:ascii="Wingdings" w:hAnsi="Wingdings"/>
      </w:rPr>
    </w:lvl>
  </w:abstractNum>
  <w:abstractNum w:abstractNumId="1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8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23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280" w:hanging="180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4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2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67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40" w:hanging="216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b w:val="0"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</w:num>
  <w:num w:numId="17">
    <w:abstractNumId w:val="14"/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8">
    <w:name w:val="Heading 1 Char"/>
    <w:basedOn w:val="755"/>
    <w:link w:val="746"/>
    <w:uiPriority w:val="9"/>
    <w:rPr>
      <w:rFonts w:ascii="Arial" w:hAnsi="Arial" w:eastAsia="Arial" w:cs="Arial"/>
      <w:sz w:val="40"/>
      <w:szCs w:val="40"/>
    </w:rPr>
  </w:style>
  <w:style w:type="character" w:styleId="729">
    <w:name w:val="Heading 2 Char"/>
    <w:basedOn w:val="755"/>
    <w:link w:val="747"/>
    <w:uiPriority w:val="9"/>
    <w:rPr>
      <w:rFonts w:ascii="Arial" w:hAnsi="Arial" w:eastAsia="Arial" w:cs="Arial"/>
      <w:sz w:val="34"/>
    </w:rPr>
  </w:style>
  <w:style w:type="character" w:styleId="730">
    <w:name w:val="Heading 3 Char"/>
    <w:basedOn w:val="755"/>
    <w:link w:val="748"/>
    <w:uiPriority w:val="9"/>
    <w:rPr>
      <w:rFonts w:ascii="Arial" w:hAnsi="Arial" w:eastAsia="Arial" w:cs="Arial"/>
      <w:sz w:val="30"/>
      <w:szCs w:val="30"/>
    </w:rPr>
  </w:style>
  <w:style w:type="character" w:styleId="731">
    <w:name w:val="Heading 4 Char"/>
    <w:basedOn w:val="755"/>
    <w:link w:val="749"/>
    <w:uiPriority w:val="9"/>
    <w:rPr>
      <w:rFonts w:ascii="Arial" w:hAnsi="Arial" w:eastAsia="Arial" w:cs="Arial"/>
      <w:b/>
      <w:bCs/>
      <w:sz w:val="26"/>
      <w:szCs w:val="26"/>
    </w:rPr>
  </w:style>
  <w:style w:type="character" w:styleId="732">
    <w:name w:val="Heading 5 Char"/>
    <w:basedOn w:val="755"/>
    <w:link w:val="750"/>
    <w:uiPriority w:val="9"/>
    <w:rPr>
      <w:rFonts w:ascii="Arial" w:hAnsi="Arial" w:eastAsia="Arial" w:cs="Arial"/>
      <w:b/>
      <w:bCs/>
      <w:sz w:val="24"/>
      <w:szCs w:val="24"/>
    </w:rPr>
  </w:style>
  <w:style w:type="character" w:styleId="733">
    <w:name w:val="Heading 6 Char"/>
    <w:basedOn w:val="755"/>
    <w:link w:val="751"/>
    <w:uiPriority w:val="9"/>
    <w:rPr>
      <w:rFonts w:ascii="Arial" w:hAnsi="Arial" w:eastAsia="Arial" w:cs="Arial"/>
      <w:b/>
      <w:bCs/>
      <w:sz w:val="22"/>
      <w:szCs w:val="22"/>
    </w:rPr>
  </w:style>
  <w:style w:type="character" w:styleId="734">
    <w:name w:val="Heading 7 Char"/>
    <w:basedOn w:val="755"/>
    <w:link w:val="75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5">
    <w:name w:val="Heading 8 Char"/>
    <w:basedOn w:val="755"/>
    <w:link w:val="753"/>
    <w:uiPriority w:val="9"/>
    <w:rPr>
      <w:rFonts w:ascii="Arial" w:hAnsi="Arial" w:eastAsia="Arial" w:cs="Arial"/>
      <w:i/>
      <w:iCs/>
      <w:sz w:val="22"/>
      <w:szCs w:val="22"/>
    </w:rPr>
  </w:style>
  <w:style w:type="character" w:styleId="736">
    <w:name w:val="Heading 9 Char"/>
    <w:basedOn w:val="755"/>
    <w:link w:val="754"/>
    <w:uiPriority w:val="9"/>
    <w:rPr>
      <w:rFonts w:ascii="Arial" w:hAnsi="Arial" w:eastAsia="Arial" w:cs="Arial"/>
      <w:i/>
      <w:iCs/>
      <w:sz w:val="21"/>
      <w:szCs w:val="21"/>
    </w:rPr>
  </w:style>
  <w:style w:type="character" w:styleId="737">
    <w:name w:val="Title Char"/>
    <w:basedOn w:val="755"/>
    <w:link w:val="769"/>
    <w:uiPriority w:val="10"/>
    <w:rPr>
      <w:sz w:val="48"/>
      <w:szCs w:val="48"/>
    </w:rPr>
  </w:style>
  <w:style w:type="character" w:styleId="738">
    <w:name w:val="Subtitle Char"/>
    <w:basedOn w:val="755"/>
    <w:link w:val="771"/>
    <w:uiPriority w:val="11"/>
    <w:rPr>
      <w:sz w:val="24"/>
      <w:szCs w:val="24"/>
    </w:rPr>
  </w:style>
  <w:style w:type="character" w:styleId="739">
    <w:name w:val="Quote Char"/>
    <w:link w:val="773"/>
    <w:uiPriority w:val="29"/>
    <w:rPr>
      <w:i/>
    </w:rPr>
  </w:style>
  <w:style w:type="character" w:styleId="740">
    <w:name w:val="Intense Quote Char"/>
    <w:link w:val="775"/>
    <w:uiPriority w:val="30"/>
    <w:rPr>
      <w:i/>
    </w:rPr>
  </w:style>
  <w:style w:type="character" w:styleId="741">
    <w:name w:val="Header Char"/>
    <w:basedOn w:val="755"/>
    <w:link w:val="777"/>
    <w:uiPriority w:val="99"/>
  </w:style>
  <w:style w:type="character" w:styleId="742">
    <w:name w:val="Caption Char"/>
    <w:basedOn w:val="781"/>
    <w:link w:val="779"/>
    <w:uiPriority w:val="99"/>
  </w:style>
  <w:style w:type="character" w:styleId="743">
    <w:name w:val="Footnote Text Char"/>
    <w:link w:val="910"/>
    <w:uiPriority w:val="99"/>
    <w:rPr>
      <w:sz w:val="18"/>
    </w:rPr>
  </w:style>
  <w:style w:type="character" w:styleId="744">
    <w:name w:val="Endnote Text Char"/>
    <w:link w:val="913"/>
    <w:uiPriority w:val="99"/>
    <w:rPr>
      <w:sz w:val="20"/>
    </w:rPr>
  </w:style>
  <w:style w:type="paragraph" w:styleId="745" w:default="1">
    <w:name w:val="Normal"/>
    <w:qFormat/>
    <w:rPr>
      <w:sz w:val="24"/>
      <w:szCs w:val="24"/>
      <w:lang w:eastAsia="ru-RU"/>
    </w:rPr>
  </w:style>
  <w:style w:type="paragraph" w:styleId="746">
    <w:name w:val="Heading 1"/>
    <w:basedOn w:val="745"/>
    <w:next w:val="745"/>
    <w:link w:val="75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47">
    <w:name w:val="Heading 2"/>
    <w:basedOn w:val="745"/>
    <w:next w:val="745"/>
    <w:link w:val="7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48">
    <w:name w:val="Heading 3"/>
    <w:basedOn w:val="745"/>
    <w:next w:val="745"/>
    <w:link w:val="76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49">
    <w:name w:val="Heading 4"/>
    <w:basedOn w:val="745"/>
    <w:next w:val="745"/>
    <w:link w:val="7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50">
    <w:name w:val="Heading 5"/>
    <w:basedOn w:val="745"/>
    <w:next w:val="745"/>
    <w:link w:val="7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51">
    <w:name w:val="Heading 6"/>
    <w:basedOn w:val="745"/>
    <w:next w:val="745"/>
    <w:link w:val="76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52">
    <w:name w:val="Heading 7"/>
    <w:basedOn w:val="745"/>
    <w:next w:val="745"/>
    <w:link w:val="76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53">
    <w:name w:val="Heading 8"/>
    <w:basedOn w:val="745"/>
    <w:next w:val="745"/>
    <w:link w:val="7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54">
    <w:name w:val="Heading 9"/>
    <w:basedOn w:val="745"/>
    <w:next w:val="745"/>
    <w:link w:val="76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5" w:default="1">
    <w:name w:val="Default Paragraph Font"/>
    <w:uiPriority w:val="1"/>
    <w:semiHidden/>
    <w:unhideWhenUsed/>
  </w:style>
  <w:style w:type="table" w:styleId="75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7" w:default="1">
    <w:name w:val="No List"/>
    <w:uiPriority w:val="99"/>
    <w:semiHidden/>
    <w:unhideWhenUsed/>
  </w:style>
  <w:style w:type="character" w:styleId="758" w:customStyle="1">
    <w:name w:val="Заголовок 1 Знак"/>
    <w:link w:val="746"/>
    <w:uiPriority w:val="9"/>
    <w:rPr>
      <w:rFonts w:ascii="Arial" w:hAnsi="Arial" w:eastAsia="Arial" w:cs="Arial"/>
      <w:sz w:val="40"/>
      <w:szCs w:val="40"/>
    </w:rPr>
  </w:style>
  <w:style w:type="character" w:styleId="759" w:customStyle="1">
    <w:name w:val="Заголовок 2 Знак"/>
    <w:link w:val="747"/>
    <w:uiPriority w:val="9"/>
    <w:rPr>
      <w:rFonts w:ascii="Arial" w:hAnsi="Arial" w:eastAsia="Arial" w:cs="Arial"/>
      <w:sz w:val="34"/>
    </w:rPr>
  </w:style>
  <w:style w:type="character" w:styleId="760" w:customStyle="1">
    <w:name w:val="Заголовок 3 Знак"/>
    <w:link w:val="748"/>
    <w:uiPriority w:val="9"/>
    <w:rPr>
      <w:rFonts w:ascii="Arial" w:hAnsi="Arial" w:eastAsia="Arial" w:cs="Arial"/>
      <w:sz w:val="30"/>
      <w:szCs w:val="30"/>
    </w:rPr>
  </w:style>
  <w:style w:type="character" w:styleId="761" w:customStyle="1">
    <w:name w:val="Заголовок 4 Знак"/>
    <w:link w:val="749"/>
    <w:uiPriority w:val="9"/>
    <w:rPr>
      <w:rFonts w:ascii="Arial" w:hAnsi="Arial" w:eastAsia="Arial" w:cs="Arial"/>
      <w:b/>
      <w:bCs/>
      <w:sz w:val="26"/>
      <w:szCs w:val="26"/>
    </w:rPr>
  </w:style>
  <w:style w:type="character" w:styleId="762" w:customStyle="1">
    <w:name w:val="Заголовок 5 Знак"/>
    <w:link w:val="750"/>
    <w:uiPriority w:val="9"/>
    <w:rPr>
      <w:rFonts w:ascii="Arial" w:hAnsi="Arial" w:eastAsia="Arial" w:cs="Arial"/>
      <w:b/>
      <w:bCs/>
      <w:sz w:val="24"/>
      <w:szCs w:val="24"/>
    </w:rPr>
  </w:style>
  <w:style w:type="character" w:styleId="763" w:customStyle="1">
    <w:name w:val="Заголовок 6 Знак"/>
    <w:link w:val="751"/>
    <w:uiPriority w:val="9"/>
    <w:rPr>
      <w:rFonts w:ascii="Arial" w:hAnsi="Arial" w:eastAsia="Arial" w:cs="Arial"/>
      <w:b/>
      <w:bCs/>
      <w:sz w:val="22"/>
      <w:szCs w:val="22"/>
    </w:rPr>
  </w:style>
  <w:style w:type="character" w:styleId="764" w:customStyle="1">
    <w:name w:val="Заголовок 7 Знак"/>
    <w:link w:val="75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5" w:customStyle="1">
    <w:name w:val="Заголовок 8 Знак"/>
    <w:link w:val="753"/>
    <w:uiPriority w:val="9"/>
    <w:rPr>
      <w:rFonts w:ascii="Arial" w:hAnsi="Arial" w:eastAsia="Arial" w:cs="Arial"/>
      <w:i/>
      <w:iCs/>
      <w:sz w:val="22"/>
      <w:szCs w:val="22"/>
    </w:rPr>
  </w:style>
  <w:style w:type="character" w:styleId="766" w:customStyle="1">
    <w:name w:val="Заголовок 9 Знак"/>
    <w:link w:val="754"/>
    <w:uiPriority w:val="9"/>
    <w:rPr>
      <w:rFonts w:ascii="Arial" w:hAnsi="Arial" w:eastAsia="Arial" w:cs="Arial"/>
      <w:i/>
      <w:iCs/>
      <w:sz w:val="21"/>
      <w:szCs w:val="21"/>
    </w:rPr>
  </w:style>
  <w:style w:type="paragraph" w:styleId="767">
    <w:name w:val="List Paragraph"/>
    <w:basedOn w:val="745"/>
    <w:uiPriority w:val="34"/>
    <w:qFormat/>
    <w:pPr>
      <w:contextualSpacing/>
      <w:ind w:left="720"/>
    </w:pPr>
  </w:style>
  <w:style w:type="paragraph" w:styleId="768">
    <w:name w:val="No Spacing"/>
    <w:uiPriority w:val="1"/>
    <w:qFormat/>
  </w:style>
  <w:style w:type="paragraph" w:styleId="769">
    <w:name w:val="Title"/>
    <w:basedOn w:val="745"/>
    <w:next w:val="745"/>
    <w:link w:val="77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0" w:customStyle="1">
    <w:name w:val="Заголовок Знак"/>
    <w:link w:val="769"/>
    <w:uiPriority w:val="10"/>
    <w:rPr>
      <w:sz w:val="48"/>
      <w:szCs w:val="48"/>
    </w:rPr>
  </w:style>
  <w:style w:type="paragraph" w:styleId="771">
    <w:name w:val="Subtitle"/>
    <w:basedOn w:val="745"/>
    <w:next w:val="745"/>
    <w:link w:val="772"/>
    <w:uiPriority w:val="11"/>
    <w:qFormat/>
    <w:pPr>
      <w:spacing w:before="200" w:after="200"/>
    </w:pPr>
  </w:style>
  <w:style w:type="character" w:styleId="772" w:customStyle="1">
    <w:name w:val="Подзаголовок Знак"/>
    <w:link w:val="771"/>
    <w:uiPriority w:val="11"/>
    <w:rPr>
      <w:sz w:val="24"/>
      <w:szCs w:val="24"/>
    </w:rPr>
  </w:style>
  <w:style w:type="paragraph" w:styleId="773">
    <w:name w:val="Quote"/>
    <w:basedOn w:val="745"/>
    <w:next w:val="745"/>
    <w:link w:val="774"/>
    <w:uiPriority w:val="29"/>
    <w:qFormat/>
    <w:pPr>
      <w:ind w:left="720" w:right="720"/>
    </w:pPr>
    <w:rPr>
      <w:i/>
    </w:rPr>
  </w:style>
  <w:style w:type="character" w:styleId="774" w:customStyle="1">
    <w:name w:val="Цитата 2 Знак"/>
    <w:link w:val="773"/>
    <w:uiPriority w:val="29"/>
    <w:rPr>
      <w:i/>
    </w:rPr>
  </w:style>
  <w:style w:type="paragraph" w:styleId="775">
    <w:name w:val="Intense Quote"/>
    <w:basedOn w:val="745"/>
    <w:next w:val="745"/>
    <w:link w:val="77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6" w:customStyle="1">
    <w:name w:val="Выделенная цитата Знак"/>
    <w:link w:val="775"/>
    <w:uiPriority w:val="30"/>
    <w:rPr>
      <w:i/>
    </w:rPr>
  </w:style>
  <w:style w:type="paragraph" w:styleId="777">
    <w:name w:val="Header"/>
    <w:basedOn w:val="745"/>
    <w:link w:val="778"/>
    <w:pPr>
      <w:tabs>
        <w:tab w:val="center" w:pos="4677" w:leader="none"/>
        <w:tab w:val="right" w:pos="9355" w:leader="none"/>
      </w:tabs>
    </w:pPr>
  </w:style>
  <w:style w:type="character" w:styleId="778" w:customStyle="1">
    <w:name w:val="Верхний колонтитул Знак"/>
    <w:link w:val="777"/>
    <w:uiPriority w:val="99"/>
  </w:style>
  <w:style w:type="paragraph" w:styleId="779">
    <w:name w:val="Footer"/>
    <w:basedOn w:val="745"/>
    <w:link w:val="782"/>
    <w:pPr>
      <w:tabs>
        <w:tab w:val="center" w:pos="4677" w:leader="none"/>
        <w:tab w:val="right" w:pos="9355" w:leader="none"/>
      </w:tabs>
    </w:pPr>
  </w:style>
  <w:style w:type="character" w:styleId="780" w:customStyle="1">
    <w:name w:val="Footer Char"/>
    <w:uiPriority w:val="99"/>
  </w:style>
  <w:style w:type="paragraph" w:styleId="781">
    <w:name w:val="Caption"/>
    <w:basedOn w:val="745"/>
    <w:next w:val="74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2" w:customStyle="1">
    <w:name w:val="Нижний колонтитул Знак"/>
    <w:link w:val="779"/>
    <w:uiPriority w:val="99"/>
  </w:style>
  <w:style w:type="table" w:styleId="783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4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5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6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7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8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0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2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13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14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15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16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17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18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19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20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21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22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23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24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25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6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27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28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29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30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1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2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7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48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49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50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51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52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53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8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9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0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1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2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3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4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75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76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77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78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79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80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81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9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0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1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2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93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4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5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6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7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8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9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0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1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2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03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04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05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06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07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08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09">
    <w:name w:val="Hyperlink"/>
    <w:rPr>
      <w:color w:val="336699"/>
      <w:u w:val="none"/>
    </w:rPr>
  </w:style>
  <w:style w:type="paragraph" w:styleId="910">
    <w:name w:val="footnote text"/>
    <w:basedOn w:val="745"/>
    <w:link w:val="911"/>
    <w:uiPriority w:val="99"/>
    <w:semiHidden/>
    <w:unhideWhenUsed/>
    <w:pPr>
      <w:spacing w:after="40"/>
    </w:pPr>
    <w:rPr>
      <w:sz w:val="18"/>
    </w:rPr>
  </w:style>
  <w:style w:type="character" w:styleId="911" w:customStyle="1">
    <w:name w:val="Текст сноски Знак"/>
    <w:link w:val="910"/>
    <w:uiPriority w:val="99"/>
    <w:rPr>
      <w:sz w:val="18"/>
    </w:rPr>
  </w:style>
  <w:style w:type="character" w:styleId="912">
    <w:name w:val="footnote reference"/>
    <w:uiPriority w:val="99"/>
    <w:unhideWhenUsed/>
    <w:rPr>
      <w:vertAlign w:val="superscript"/>
    </w:rPr>
  </w:style>
  <w:style w:type="paragraph" w:styleId="913">
    <w:name w:val="endnote text"/>
    <w:basedOn w:val="745"/>
    <w:link w:val="914"/>
    <w:uiPriority w:val="99"/>
    <w:semiHidden/>
    <w:unhideWhenUsed/>
    <w:rPr>
      <w:sz w:val="20"/>
    </w:rPr>
  </w:style>
  <w:style w:type="character" w:styleId="914" w:customStyle="1">
    <w:name w:val="Текст концевой сноски Знак"/>
    <w:link w:val="913"/>
    <w:uiPriority w:val="99"/>
    <w:rPr>
      <w:sz w:val="20"/>
    </w:rPr>
  </w:style>
  <w:style w:type="character" w:styleId="915">
    <w:name w:val="endnote reference"/>
    <w:uiPriority w:val="99"/>
    <w:semiHidden/>
    <w:unhideWhenUsed/>
    <w:rPr>
      <w:vertAlign w:val="superscript"/>
    </w:rPr>
  </w:style>
  <w:style w:type="paragraph" w:styleId="916">
    <w:name w:val="toc 1"/>
    <w:basedOn w:val="745"/>
    <w:next w:val="745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917">
    <w:name w:val="toc 2"/>
    <w:basedOn w:val="745"/>
    <w:next w:val="745"/>
    <w:uiPriority w:val="39"/>
    <w:unhideWhenUsed/>
    <w:pPr>
      <w:ind w:left="283"/>
      <w:spacing w:after="57"/>
    </w:pPr>
  </w:style>
  <w:style w:type="paragraph" w:styleId="918">
    <w:name w:val="toc 3"/>
    <w:basedOn w:val="745"/>
    <w:next w:val="745"/>
    <w:pPr>
      <w:ind w:left="480"/>
    </w:pPr>
  </w:style>
  <w:style w:type="paragraph" w:styleId="919">
    <w:name w:val="toc 4"/>
    <w:basedOn w:val="745"/>
    <w:next w:val="745"/>
    <w:uiPriority w:val="39"/>
    <w:unhideWhenUsed/>
    <w:pPr>
      <w:ind w:left="850"/>
      <w:spacing w:after="57"/>
    </w:pPr>
  </w:style>
  <w:style w:type="paragraph" w:styleId="920">
    <w:name w:val="toc 5"/>
    <w:basedOn w:val="745"/>
    <w:next w:val="745"/>
    <w:uiPriority w:val="39"/>
    <w:unhideWhenUsed/>
    <w:pPr>
      <w:ind w:left="1134"/>
      <w:spacing w:after="57"/>
    </w:pPr>
  </w:style>
  <w:style w:type="paragraph" w:styleId="921">
    <w:name w:val="toc 6"/>
    <w:basedOn w:val="745"/>
    <w:next w:val="745"/>
    <w:uiPriority w:val="39"/>
    <w:unhideWhenUsed/>
    <w:pPr>
      <w:ind w:left="1417"/>
      <w:spacing w:after="57"/>
    </w:pPr>
  </w:style>
  <w:style w:type="paragraph" w:styleId="922">
    <w:name w:val="toc 7"/>
    <w:basedOn w:val="745"/>
    <w:next w:val="745"/>
    <w:uiPriority w:val="39"/>
    <w:unhideWhenUsed/>
    <w:pPr>
      <w:ind w:left="1701"/>
      <w:spacing w:after="57"/>
    </w:pPr>
  </w:style>
  <w:style w:type="paragraph" w:styleId="923">
    <w:name w:val="toc 8"/>
    <w:basedOn w:val="745"/>
    <w:next w:val="745"/>
    <w:uiPriority w:val="39"/>
    <w:unhideWhenUsed/>
    <w:pPr>
      <w:ind w:left="1984"/>
      <w:spacing w:after="57"/>
    </w:pPr>
  </w:style>
  <w:style w:type="paragraph" w:styleId="924">
    <w:name w:val="toc 9"/>
    <w:basedOn w:val="745"/>
    <w:next w:val="745"/>
    <w:uiPriority w:val="39"/>
    <w:unhideWhenUsed/>
    <w:pPr>
      <w:ind w:left="2268"/>
      <w:spacing w:after="57"/>
    </w:pPr>
  </w:style>
  <w:style w:type="paragraph" w:styleId="925">
    <w:name w:val="TOC Heading"/>
    <w:uiPriority w:val="39"/>
    <w:unhideWhenUsed/>
  </w:style>
  <w:style w:type="paragraph" w:styleId="926">
    <w:name w:val="table of figures"/>
    <w:basedOn w:val="745"/>
    <w:next w:val="745"/>
    <w:uiPriority w:val="99"/>
    <w:unhideWhenUsed/>
  </w:style>
  <w:style w:type="paragraph" w:styleId="927" w:customStyle="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745"/>
    <w:next w:val="745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styleId="928" w:customStyle="1">
    <w:name w:val="Заголовок 2;Заголовок 2 Знак;H2;H2 Знак;Заголовок 21;2;h2;Б2;RTC;iz2;Numbered text 3;HD2;heading 2;Heading 2 Hidden;Раздел Знак"/>
    <w:basedOn w:val="745"/>
    <w:next w:val="745"/>
    <w:qFormat/>
    <w:pPr>
      <w:numPr>
        <w:ilvl w:val="1"/>
        <w:numId w:val="1"/>
      </w:numPr>
      <w:keepNext/>
      <w:spacing w:before="360" w:after="120"/>
      <w:outlineLvl w:val="1"/>
    </w:pPr>
    <w:rPr>
      <w:b/>
      <w:sz w:val="32"/>
      <w:szCs w:val="20"/>
    </w:rPr>
  </w:style>
  <w:style w:type="character" w:styleId="929" w:customStyle="1">
    <w:name w:val="Основной шрифт абзаца;Знак2"/>
    <w:link w:val="954"/>
    <w:semiHidden/>
  </w:style>
  <w:style w:type="character" w:styleId="930">
    <w:name w:val="FollowedHyperlink"/>
    <w:rPr>
      <w:color w:val="800080"/>
      <w:u w:val="single"/>
    </w:rPr>
  </w:style>
  <w:style w:type="paragraph" w:styleId="931" w:customStyle="1">
    <w:name w:val="Пункт"/>
    <w:basedOn w:val="745"/>
    <w:pPr>
      <w:numPr>
        <w:ilvl w:val="2"/>
        <w:numId w:val="1"/>
      </w:numPr>
      <w:jc w:val="both"/>
      <w:spacing w:line="360" w:lineRule="auto"/>
    </w:pPr>
    <w:rPr>
      <w:sz w:val="28"/>
      <w:szCs w:val="20"/>
    </w:rPr>
  </w:style>
  <w:style w:type="paragraph" w:styleId="932" w:customStyle="1">
    <w:name w:val="Подпункт"/>
    <w:basedOn w:val="931"/>
    <w:pPr>
      <w:numPr>
        <w:ilvl w:val="3"/>
      </w:numPr>
    </w:pPr>
  </w:style>
  <w:style w:type="paragraph" w:styleId="933" w:customStyle="1">
    <w:name w:val="Подподпункт"/>
    <w:basedOn w:val="932"/>
    <w:pPr>
      <w:numPr>
        <w:ilvl w:val="4"/>
      </w:numPr>
    </w:pPr>
  </w:style>
  <w:style w:type="character" w:styleId="934" w:customStyle="1">
    <w:name w:val="Основной текст Знак"/>
    <w:rPr>
      <w:sz w:val="28"/>
      <w:szCs w:val="28"/>
      <w:lang w:val="ru-RU" w:eastAsia="ru-RU"/>
    </w:rPr>
  </w:style>
  <w:style w:type="character" w:styleId="935">
    <w:name w:val="page number"/>
    <w:basedOn w:val="929"/>
  </w:style>
  <w:style w:type="paragraph" w:styleId="936" w:customStyle="1">
    <w:name w:val="3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7" w:customStyle="1">
    <w:name w:val="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8" w:customStyle="1">
    <w:name w:val="Знак1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9" w:customStyle="1">
    <w:name w:val="Знак Знак Знак Знак 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0" w:customStyle="1">
    <w:name w:val="Знак Знак Знак1 Знак 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1" w:customStyle="1">
    <w:name w:val="Знак Знак Знак Знак Знак 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2">
    <w:name w:val="List Number"/>
    <w:basedOn w:val="745"/>
    <w:pPr>
      <w:jc w:val="both"/>
      <w:spacing w:before="60" w:line="360" w:lineRule="auto"/>
    </w:pPr>
    <w:rPr>
      <w:sz w:val="28"/>
    </w:rPr>
  </w:style>
  <w:style w:type="paragraph" w:styleId="943" w:customStyle="1">
    <w:name w:val="Стиль1 Знак"/>
    <w:basedOn w:val="932"/>
    <w:link w:val="944"/>
    <w:pPr>
      <w:numPr>
        <w:ilvl w:val="0"/>
        <w:numId w:val="0"/>
      </w:numPr>
      <w:spacing w:line="240" w:lineRule="auto"/>
    </w:pPr>
    <w:rPr>
      <w:szCs w:val="28"/>
    </w:rPr>
  </w:style>
  <w:style w:type="character" w:styleId="944" w:customStyle="1">
    <w:name w:val="Стиль1 Знак Знак"/>
    <w:link w:val="943"/>
    <w:rPr>
      <w:sz w:val="28"/>
      <w:szCs w:val="28"/>
      <w:lang w:val="ru-RU" w:eastAsia="ru-RU" w:bidi="ar-SA"/>
    </w:rPr>
  </w:style>
  <w:style w:type="paragraph" w:styleId="945" w:customStyle="1">
    <w:name w:val="Стиль1"/>
    <w:basedOn w:val="932"/>
    <w:pPr>
      <w:numPr>
        <w:ilvl w:val="0"/>
        <w:numId w:val="0"/>
      </w:numPr>
      <w:spacing w:line="240" w:lineRule="auto"/>
    </w:pPr>
    <w:rPr>
      <w:szCs w:val="28"/>
    </w:rPr>
  </w:style>
  <w:style w:type="character" w:styleId="946" w:customStyle="1">
    <w:name w:val="заменить"/>
    <w:rPr>
      <w:i/>
      <w:u w:val="none"/>
      <w:shd w:val="clear" w:color="auto" w:fill="ffcc99"/>
    </w:rPr>
  </w:style>
  <w:style w:type="paragraph" w:styleId="947" w:customStyle="1">
    <w:name w:val="Служебный"/>
    <w:basedOn w:val="745"/>
    <w:semiHidden/>
    <w:pPr>
      <w:pageBreakBefore/>
      <w:spacing w:before="480" w:after="240"/>
      <w:tabs>
        <w:tab w:val="left" w:pos="851" w:leader="none"/>
      </w:tabs>
      <w:outlineLvl w:val="0"/>
    </w:pPr>
    <w:rPr>
      <w:rFonts w:ascii="Arial" w:hAnsi="Arial" w:cs="Arial"/>
      <w:b/>
      <w:bCs/>
      <w:sz w:val="36"/>
      <w:szCs w:val="36"/>
    </w:rPr>
  </w:style>
  <w:style w:type="paragraph" w:styleId="948" w:customStyle="1">
    <w:name w:val="ConsPlusNormal"/>
    <w:pPr>
      <w:ind w:firstLine="720"/>
      <w:widowControl w:val="off"/>
    </w:pPr>
    <w:rPr>
      <w:rFonts w:ascii="Arial" w:hAnsi="Arial" w:cs="Arial"/>
      <w:lang w:eastAsia="ru-RU"/>
    </w:rPr>
  </w:style>
  <w:style w:type="paragraph" w:styleId="949">
    <w:name w:val="Document Map"/>
    <w:basedOn w:val="745"/>
    <w:semiHidden/>
    <w:pPr>
      <w:shd w:val="clear" w:color="auto" w:fill="000080"/>
    </w:pPr>
    <w:rPr>
      <w:rFonts w:ascii="Tahoma" w:hAnsi="Tahoma" w:cs="Tahoma"/>
    </w:rPr>
  </w:style>
  <w:style w:type="paragraph" w:styleId="950">
    <w:name w:val="Normal (Web)"/>
    <w:basedOn w:val="745"/>
    <w:pPr>
      <w:spacing w:before="100" w:beforeAutospacing="1" w:after="100" w:afterAutospacing="1"/>
    </w:pPr>
  </w:style>
  <w:style w:type="character" w:styleId="951">
    <w:name w:val="Emphasis"/>
    <w:qFormat/>
    <w:rPr>
      <w:i/>
      <w:iCs/>
    </w:rPr>
  </w:style>
  <w:style w:type="paragraph" w:styleId="952">
    <w:name w:val="Balloon Text"/>
    <w:basedOn w:val="745"/>
    <w:semiHidden/>
    <w:rPr>
      <w:rFonts w:ascii="Tahoma" w:hAnsi="Tahoma" w:cs="Tahoma"/>
      <w:sz w:val="16"/>
      <w:szCs w:val="16"/>
    </w:rPr>
  </w:style>
  <w:style w:type="paragraph" w:styleId="953" w:customStyle="1">
    <w:name w:val="1 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4" w:customStyle="1">
    <w:name w:val="Знак"/>
    <w:basedOn w:val="745"/>
    <w:link w:val="929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5" w:customStyle="1">
    <w:name w:val="1"/>
    <w:basedOn w:val="745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6" w:customStyle="1">
    <w:name w:val="Заголовок_1"/>
    <w:basedOn w:val="745"/>
    <w:uiPriority w:val="99"/>
    <w:pPr>
      <w:numPr>
        <w:ilvl w:val="0"/>
        <w:numId w:val="16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957" w:customStyle="1">
    <w:name w:val="Пункт_3"/>
    <w:basedOn w:val="745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styleId="958" w:customStyle="1">
    <w:name w:val="Пункт_2"/>
    <w:basedOn w:val="745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styleId="959" w:customStyle="1">
    <w:name w:val="Пункт_5"/>
    <w:basedOn w:val="957"/>
    <w:uiPriority w:val="99"/>
    <w:pPr>
      <w:numPr>
        <w:ilvl w:val="4"/>
      </w:numPr>
    </w:pPr>
  </w:style>
  <w:style w:type="paragraph" w:styleId="960" w:customStyle="1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ОАО "МРСК Северо-Запада"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revision>185</cp:revision>
  <dcterms:created xsi:type="dcterms:W3CDTF">2019-02-19T14:12:00Z</dcterms:created>
  <dcterms:modified xsi:type="dcterms:W3CDTF">2025-11-18T10:16:23Z</dcterms:modified>
  <cp:version>1048576</cp:version>
</cp:coreProperties>
</file>